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99186" w14:textId="77777777" w:rsidR="00DD1397" w:rsidRDefault="00E349E6" w:rsidP="00114456">
      <w:pPr>
        <w:spacing w:line="240" w:lineRule="auto"/>
        <w:rPr>
          <w:rFonts w:ascii="Arial" w:hAnsi="Arial" w:cs="Arial"/>
          <w:b/>
          <w:bCs/>
          <w:i/>
          <w:iCs/>
          <w:color w:val="C00000"/>
          <w:sz w:val="28"/>
          <w:szCs w:val="28"/>
        </w:rPr>
      </w:pPr>
      <w:r w:rsidRPr="00E349E6">
        <w:rPr>
          <w:rFonts w:ascii="Arial" w:hAnsi="Arial" w:cs="Arial"/>
          <w:i/>
          <w:iCs/>
          <w:noProof/>
          <w:sz w:val="24"/>
          <w:szCs w:val="24"/>
        </w:rPr>
        <w:drawing>
          <wp:anchor distT="0" distB="0" distL="114300" distR="114300" simplePos="0" relativeHeight="251659264" behindDoc="1" locked="0" layoutInCell="1" allowOverlap="1" wp14:anchorId="717EFDDF" wp14:editId="1FFA525C">
            <wp:simplePos x="0" y="0"/>
            <wp:positionH relativeFrom="column">
              <wp:posOffset>4472746</wp:posOffset>
            </wp:positionH>
            <wp:positionV relativeFrom="paragraph">
              <wp:posOffset>0</wp:posOffset>
            </wp:positionV>
            <wp:extent cx="1333500" cy="748665"/>
            <wp:effectExtent l="0" t="0" r="0" b="0"/>
            <wp:wrapSquare wrapText="bothSides"/>
            <wp:docPr id="1594093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379384" name="Picture 675379384"/>
                    <pic:cNvPicPr/>
                  </pic:nvPicPr>
                  <pic:blipFill>
                    <a:blip r:embed="rId9"/>
                    <a:stretch>
                      <a:fillRect/>
                    </a:stretch>
                  </pic:blipFill>
                  <pic:spPr>
                    <a:xfrm>
                      <a:off x="0" y="0"/>
                      <a:ext cx="1333500" cy="748665"/>
                    </a:xfrm>
                    <a:prstGeom prst="rect">
                      <a:avLst/>
                    </a:prstGeom>
                  </pic:spPr>
                </pic:pic>
              </a:graphicData>
            </a:graphic>
            <wp14:sizeRelH relativeFrom="margin">
              <wp14:pctWidth>0</wp14:pctWidth>
            </wp14:sizeRelH>
            <wp14:sizeRelV relativeFrom="margin">
              <wp14:pctHeight>0</wp14:pctHeight>
            </wp14:sizeRelV>
          </wp:anchor>
        </w:drawing>
      </w:r>
      <w:bookmarkStart w:id="0" w:name="_Hlk175729962"/>
      <w:bookmarkEnd w:id="0"/>
    </w:p>
    <w:p w14:paraId="6BD8FA2F" w14:textId="102D0D07" w:rsidR="00446ABC" w:rsidRPr="00DD1397" w:rsidRDefault="00114456" w:rsidP="00114456">
      <w:pPr>
        <w:spacing w:line="240" w:lineRule="auto"/>
        <w:rPr>
          <w:rFonts w:ascii="Arial" w:hAnsi="Arial" w:cs="Arial"/>
          <w:b/>
          <w:bCs/>
          <w:i/>
          <w:iCs/>
          <w:color w:val="C00000"/>
          <w:sz w:val="28"/>
          <w:szCs w:val="28"/>
        </w:rPr>
      </w:pPr>
      <w:r w:rsidRPr="006B178C">
        <w:rPr>
          <w:rFonts w:ascii="Arial" w:hAnsi="Arial" w:cs="Arial"/>
          <w:b/>
          <w:bCs/>
          <w:sz w:val="24"/>
          <w:szCs w:val="24"/>
          <w:u w:val="single"/>
        </w:rPr>
        <w:t>EMBARGOED</w:t>
      </w:r>
      <w:r w:rsidR="0076429D" w:rsidRPr="006B178C">
        <w:rPr>
          <w:rFonts w:ascii="Arial" w:hAnsi="Arial" w:cs="Arial"/>
          <w:b/>
          <w:bCs/>
          <w:sz w:val="24"/>
          <w:szCs w:val="24"/>
          <w:u w:val="single"/>
        </w:rPr>
        <w:t xml:space="preserve">: 19 September </w:t>
      </w:r>
    </w:p>
    <w:p w14:paraId="5F008051" w14:textId="5B3721BC" w:rsidR="001A6049" w:rsidRPr="00114456" w:rsidRDefault="001A6049" w:rsidP="001A6049">
      <w:pPr>
        <w:spacing w:line="240" w:lineRule="auto"/>
        <w:rPr>
          <w:rFonts w:ascii="Arial" w:hAnsi="Arial" w:cs="Arial"/>
          <w:b/>
          <w:bCs/>
          <w:sz w:val="24"/>
          <w:szCs w:val="24"/>
        </w:rPr>
      </w:pPr>
      <w:r w:rsidRPr="00114456">
        <w:rPr>
          <w:rFonts w:ascii="Arial" w:hAnsi="Arial" w:cs="Arial"/>
          <w:b/>
          <w:bCs/>
          <w:sz w:val="24"/>
          <w:szCs w:val="24"/>
        </w:rPr>
        <w:t xml:space="preserve">Rural Economy: A Sleeping Giant Worth </w:t>
      </w:r>
      <w:r w:rsidR="00C752C2">
        <w:rPr>
          <w:rFonts w:ascii="Arial" w:hAnsi="Arial" w:cs="Arial"/>
          <w:b/>
          <w:bCs/>
          <w:sz w:val="24"/>
          <w:szCs w:val="24"/>
        </w:rPr>
        <w:t xml:space="preserve">£19 </w:t>
      </w:r>
      <w:r w:rsidRPr="00114456">
        <w:rPr>
          <w:rFonts w:ascii="Arial" w:hAnsi="Arial" w:cs="Arial"/>
          <w:b/>
          <w:bCs/>
          <w:sz w:val="24"/>
          <w:szCs w:val="24"/>
        </w:rPr>
        <w:t>Billion</w:t>
      </w:r>
    </w:p>
    <w:p w14:paraId="0671C8C2" w14:textId="500C41A9" w:rsidR="00A410A5" w:rsidRDefault="00492296" w:rsidP="00114456">
      <w:pPr>
        <w:spacing w:line="240" w:lineRule="auto"/>
        <w:rPr>
          <w:rFonts w:ascii="Arial" w:hAnsi="Arial" w:cs="Arial"/>
          <w:sz w:val="24"/>
          <w:szCs w:val="24"/>
        </w:rPr>
      </w:pPr>
      <w:r w:rsidRPr="00114456">
        <w:rPr>
          <w:rFonts w:ascii="Arial" w:hAnsi="Arial" w:cs="Arial"/>
          <w:sz w:val="24"/>
          <w:szCs w:val="24"/>
        </w:rPr>
        <w:t xml:space="preserve">As the new government </w:t>
      </w:r>
      <w:proofErr w:type="spellStart"/>
      <w:r w:rsidR="00114456" w:rsidRPr="00114456">
        <w:rPr>
          <w:rFonts w:ascii="Arial" w:hAnsi="Arial" w:cs="Arial"/>
          <w:sz w:val="24"/>
          <w:szCs w:val="24"/>
        </w:rPr>
        <w:t>prioriti</w:t>
      </w:r>
      <w:r w:rsidR="00F47280">
        <w:rPr>
          <w:rFonts w:ascii="Arial" w:hAnsi="Arial" w:cs="Arial"/>
          <w:sz w:val="24"/>
          <w:szCs w:val="24"/>
        </w:rPr>
        <w:t>s</w:t>
      </w:r>
      <w:r w:rsidR="00114456" w:rsidRPr="00114456">
        <w:rPr>
          <w:rFonts w:ascii="Arial" w:hAnsi="Arial" w:cs="Arial"/>
          <w:sz w:val="24"/>
          <w:szCs w:val="24"/>
        </w:rPr>
        <w:t>es</w:t>
      </w:r>
      <w:proofErr w:type="spellEnd"/>
      <w:r w:rsidRPr="00114456">
        <w:rPr>
          <w:rFonts w:ascii="Arial" w:hAnsi="Arial" w:cs="Arial"/>
          <w:sz w:val="24"/>
          <w:szCs w:val="24"/>
        </w:rPr>
        <w:t xml:space="preserve"> econom</w:t>
      </w:r>
      <w:r w:rsidR="00114456">
        <w:rPr>
          <w:rFonts w:ascii="Arial" w:hAnsi="Arial" w:cs="Arial"/>
          <w:sz w:val="24"/>
          <w:szCs w:val="24"/>
        </w:rPr>
        <w:t>ic growth</w:t>
      </w:r>
      <w:r w:rsidRPr="00114456">
        <w:rPr>
          <w:rFonts w:ascii="Arial" w:hAnsi="Arial" w:cs="Arial"/>
          <w:sz w:val="24"/>
          <w:szCs w:val="24"/>
        </w:rPr>
        <w:t>, a landmark report</w:t>
      </w:r>
      <w:r w:rsidR="00114456">
        <w:rPr>
          <w:rFonts w:ascii="Arial" w:hAnsi="Arial" w:cs="Arial"/>
          <w:sz w:val="24"/>
          <w:szCs w:val="24"/>
        </w:rPr>
        <w:t xml:space="preserve"> published </w:t>
      </w:r>
      <w:r w:rsidR="0076429D">
        <w:rPr>
          <w:rFonts w:ascii="Arial" w:hAnsi="Arial" w:cs="Arial"/>
          <w:sz w:val="24"/>
          <w:szCs w:val="24"/>
        </w:rPr>
        <w:t>today</w:t>
      </w:r>
      <w:r w:rsidR="00114456">
        <w:rPr>
          <w:rFonts w:ascii="Arial" w:hAnsi="Arial" w:cs="Arial"/>
          <w:sz w:val="24"/>
          <w:szCs w:val="24"/>
        </w:rPr>
        <w:t xml:space="preserve"> </w:t>
      </w:r>
      <w:r w:rsidR="00114456" w:rsidRPr="00114456">
        <w:rPr>
          <w:rFonts w:ascii="Arial" w:hAnsi="Arial" w:cs="Arial"/>
          <w:sz w:val="24"/>
          <w:szCs w:val="24"/>
        </w:rPr>
        <w:t>reveals</w:t>
      </w:r>
      <w:r w:rsidRPr="00114456">
        <w:rPr>
          <w:rFonts w:ascii="Arial" w:hAnsi="Arial" w:cs="Arial"/>
          <w:sz w:val="24"/>
          <w:szCs w:val="24"/>
        </w:rPr>
        <w:t xml:space="preserve"> the enormous potential of the rural economy, which could generate billions of pounds annually in additional tax revenues. </w:t>
      </w:r>
    </w:p>
    <w:p w14:paraId="57C10803" w14:textId="77777777" w:rsidR="00A410A5" w:rsidRPr="00114456" w:rsidRDefault="00A410A5" w:rsidP="00A410A5">
      <w:pPr>
        <w:spacing w:line="240" w:lineRule="auto"/>
        <w:rPr>
          <w:rFonts w:ascii="Arial" w:hAnsi="Arial" w:cs="Arial"/>
          <w:sz w:val="24"/>
          <w:szCs w:val="24"/>
        </w:rPr>
      </w:pPr>
      <w:r w:rsidRPr="00114456">
        <w:rPr>
          <w:rFonts w:ascii="Arial" w:hAnsi="Arial" w:cs="Arial"/>
          <w:sz w:val="24"/>
          <w:szCs w:val="24"/>
        </w:rPr>
        <w:t xml:space="preserve">The report </w:t>
      </w:r>
      <w:r>
        <w:rPr>
          <w:rFonts w:ascii="Arial" w:hAnsi="Arial" w:cs="Arial"/>
          <w:sz w:val="24"/>
          <w:szCs w:val="24"/>
        </w:rPr>
        <w:t>show</w:t>
      </w:r>
      <w:r w:rsidRPr="00114456">
        <w:rPr>
          <w:rFonts w:ascii="Arial" w:hAnsi="Arial" w:cs="Arial"/>
          <w:sz w:val="24"/>
          <w:szCs w:val="24"/>
        </w:rPr>
        <w:t>s that with the right policy framework, the rural economy could increase productivity significantly, leading to an additional £9 billion to £19 billion per year in tax revenues. This growth would not only support rural communities but also have far-reaching benefits for the national economy, helping to fund essential public services and drive broader economic initiatives. The Treasury stands to gain substantially from an invigorated rural economy, making this an opportunity too significant to ignore.</w:t>
      </w:r>
    </w:p>
    <w:p w14:paraId="72EACEB5" w14:textId="20339694" w:rsidR="00A410A5" w:rsidRPr="00A410A5" w:rsidRDefault="00A410A5" w:rsidP="00114456">
      <w:pPr>
        <w:spacing w:line="240" w:lineRule="auto"/>
        <w:rPr>
          <w:rFonts w:ascii="Arial" w:hAnsi="Arial" w:cs="Arial"/>
          <w:b/>
          <w:bCs/>
          <w:sz w:val="24"/>
          <w:szCs w:val="24"/>
        </w:rPr>
      </w:pPr>
      <w:r w:rsidRPr="00114456">
        <w:rPr>
          <w:rFonts w:ascii="Arial" w:hAnsi="Arial" w:cs="Arial"/>
          <w:b/>
          <w:bCs/>
          <w:sz w:val="24"/>
          <w:szCs w:val="24"/>
        </w:rPr>
        <w:t xml:space="preserve">Unlocking the </w:t>
      </w:r>
      <w:r>
        <w:rPr>
          <w:rFonts w:ascii="Arial" w:hAnsi="Arial" w:cs="Arial"/>
          <w:b/>
          <w:bCs/>
          <w:sz w:val="24"/>
          <w:szCs w:val="24"/>
        </w:rPr>
        <w:t>u</w:t>
      </w:r>
      <w:r w:rsidRPr="00114456">
        <w:rPr>
          <w:rFonts w:ascii="Arial" w:hAnsi="Arial" w:cs="Arial"/>
          <w:b/>
          <w:bCs/>
          <w:sz w:val="24"/>
          <w:szCs w:val="24"/>
        </w:rPr>
        <w:t xml:space="preserve">ntapped </w:t>
      </w:r>
      <w:r>
        <w:rPr>
          <w:rFonts w:ascii="Arial" w:hAnsi="Arial" w:cs="Arial"/>
          <w:b/>
          <w:bCs/>
          <w:sz w:val="24"/>
          <w:szCs w:val="24"/>
        </w:rPr>
        <w:t>p</w:t>
      </w:r>
      <w:r w:rsidRPr="00114456">
        <w:rPr>
          <w:rFonts w:ascii="Arial" w:hAnsi="Arial" w:cs="Arial"/>
          <w:b/>
          <w:bCs/>
          <w:sz w:val="24"/>
          <w:szCs w:val="24"/>
        </w:rPr>
        <w:t xml:space="preserve">otential of </w:t>
      </w:r>
      <w:r>
        <w:rPr>
          <w:rFonts w:ascii="Arial" w:hAnsi="Arial" w:cs="Arial"/>
          <w:b/>
          <w:bCs/>
          <w:sz w:val="24"/>
          <w:szCs w:val="24"/>
        </w:rPr>
        <w:t>r</w:t>
      </w:r>
      <w:r w:rsidRPr="00114456">
        <w:rPr>
          <w:rFonts w:ascii="Arial" w:hAnsi="Arial" w:cs="Arial"/>
          <w:b/>
          <w:bCs/>
          <w:sz w:val="24"/>
          <w:szCs w:val="24"/>
        </w:rPr>
        <w:t xml:space="preserve">ural England: A </w:t>
      </w:r>
      <w:r>
        <w:rPr>
          <w:rFonts w:ascii="Arial" w:hAnsi="Arial" w:cs="Arial"/>
          <w:b/>
          <w:bCs/>
          <w:sz w:val="24"/>
          <w:szCs w:val="24"/>
        </w:rPr>
        <w:t>n</w:t>
      </w:r>
      <w:r w:rsidRPr="00114456">
        <w:rPr>
          <w:rFonts w:ascii="Arial" w:hAnsi="Arial" w:cs="Arial"/>
          <w:b/>
          <w:bCs/>
          <w:sz w:val="24"/>
          <w:szCs w:val="24"/>
        </w:rPr>
        <w:t xml:space="preserve">ew </w:t>
      </w:r>
      <w:r>
        <w:rPr>
          <w:rFonts w:ascii="Arial" w:hAnsi="Arial" w:cs="Arial"/>
          <w:b/>
          <w:bCs/>
          <w:sz w:val="24"/>
          <w:szCs w:val="24"/>
        </w:rPr>
        <w:t>e</w:t>
      </w:r>
      <w:r w:rsidRPr="00114456">
        <w:rPr>
          <w:rFonts w:ascii="Arial" w:hAnsi="Arial" w:cs="Arial"/>
          <w:b/>
          <w:bCs/>
          <w:sz w:val="24"/>
          <w:szCs w:val="24"/>
        </w:rPr>
        <w:t xml:space="preserve">ra for </w:t>
      </w:r>
      <w:r>
        <w:rPr>
          <w:rFonts w:ascii="Arial" w:hAnsi="Arial" w:cs="Arial"/>
          <w:b/>
          <w:bCs/>
          <w:sz w:val="24"/>
          <w:szCs w:val="24"/>
        </w:rPr>
        <w:t>e</w:t>
      </w:r>
      <w:r w:rsidRPr="00114456">
        <w:rPr>
          <w:rFonts w:ascii="Arial" w:hAnsi="Arial" w:cs="Arial"/>
          <w:b/>
          <w:bCs/>
          <w:sz w:val="24"/>
          <w:szCs w:val="24"/>
        </w:rPr>
        <w:t xml:space="preserve">conomic </w:t>
      </w:r>
      <w:r>
        <w:rPr>
          <w:rFonts w:ascii="Arial" w:hAnsi="Arial" w:cs="Arial"/>
          <w:b/>
          <w:bCs/>
          <w:sz w:val="24"/>
          <w:szCs w:val="24"/>
        </w:rPr>
        <w:t>g</w:t>
      </w:r>
      <w:r w:rsidRPr="00114456">
        <w:rPr>
          <w:rFonts w:ascii="Arial" w:hAnsi="Arial" w:cs="Arial"/>
          <w:b/>
          <w:bCs/>
          <w:sz w:val="24"/>
          <w:szCs w:val="24"/>
        </w:rPr>
        <w:t>rowth</w:t>
      </w:r>
    </w:p>
    <w:p w14:paraId="1825AD89" w14:textId="562F62B6" w:rsidR="00446ABC" w:rsidRDefault="00492296" w:rsidP="00114456">
      <w:pPr>
        <w:spacing w:line="240" w:lineRule="auto"/>
        <w:rPr>
          <w:rFonts w:ascii="Arial" w:hAnsi="Arial" w:cs="Arial"/>
          <w:sz w:val="24"/>
          <w:szCs w:val="24"/>
        </w:rPr>
      </w:pPr>
      <w:r w:rsidRPr="00114456">
        <w:rPr>
          <w:rFonts w:ascii="Arial" w:hAnsi="Arial" w:cs="Arial"/>
          <w:sz w:val="24"/>
          <w:szCs w:val="24"/>
        </w:rPr>
        <w:t xml:space="preserve">Commissioned by </w:t>
      </w:r>
      <w:hyperlink r:id="rId10" w:history="1">
        <w:r w:rsidRPr="00114456">
          <w:rPr>
            <w:rStyle w:val="Hyperlink"/>
            <w:rFonts w:ascii="Arial" w:hAnsi="Arial" w:cs="Arial"/>
            <w:sz w:val="24"/>
            <w:szCs w:val="24"/>
          </w:rPr>
          <w:t>The Rural Coalition</w:t>
        </w:r>
      </w:hyperlink>
      <w:r w:rsidRPr="00114456">
        <w:rPr>
          <w:rFonts w:ascii="Arial" w:hAnsi="Arial" w:cs="Arial"/>
          <w:sz w:val="24"/>
          <w:szCs w:val="24"/>
        </w:rPr>
        <w:t xml:space="preserve"> and developed by </w:t>
      </w:r>
      <w:hyperlink r:id="rId11" w:history="1">
        <w:proofErr w:type="spellStart"/>
        <w:r w:rsidRPr="00EB288A">
          <w:rPr>
            <w:rStyle w:val="Hyperlink"/>
            <w:rFonts w:ascii="Arial" w:hAnsi="Arial" w:cs="Arial"/>
            <w:sz w:val="24"/>
            <w:szCs w:val="24"/>
          </w:rPr>
          <w:t>Pragmatix</w:t>
        </w:r>
        <w:proofErr w:type="spellEnd"/>
        <w:r w:rsidRPr="00EB288A">
          <w:rPr>
            <w:rStyle w:val="Hyperlink"/>
            <w:rFonts w:ascii="Arial" w:hAnsi="Arial" w:cs="Arial"/>
            <w:sz w:val="24"/>
            <w:szCs w:val="24"/>
          </w:rPr>
          <w:t xml:space="preserve"> Advisory</w:t>
        </w:r>
      </w:hyperlink>
      <w:r w:rsidRPr="00114456">
        <w:rPr>
          <w:rFonts w:ascii="Arial" w:hAnsi="Arial" w:cs="Arial"/>
          <w:sz w:val="24"/>
          <w:szCs w:val="24"/>
        </w:rPr>
        <w:t xml:space="preserve">, the report </w:t>
      </w:r>
      <w:r w:rsidR="001A2C98">
        <w:rPr>
          <w:rFonts w:ascii="Arial" w:hAnsi="Arial" w:cs="Arial"/>
          <w:sz w:val="24"/>
          <w:szCs w:val="24"/>
        </w:rPr>
        <w:t xml:space="preserve">highlights </w:t>
      </w:r>
      <w:r w:rsidRPr="00114456">
        <w:rPr>
          <w:rFonts w:ascii="Arial" w:hAnsi="Arial" w:cs="Arial"/>
          <w:sz w:val="24"/>
          <w:szCs w:val="24"/>
        </w:rPr>
        <w:t>the critical need for focused investments and policy changes to bridge the productivity gap between rural and non-rural areas. This is a crucial step to ensure that rural England contributes fully to the nation's economic recovery and growth.</w:t>
      </w:r>
    </w:p>
    <w:p w14:paraId="269DFC2A" w14:textId="3E46FC43" w:rsidR="00114456" w:rsidRPr="00114456" w:rsidRDefault="00492296" w:rsidP="00114456">
      <w:pPr>
        <w:rPr>
          <w:rFonts w:ascii="Arial" w:hAnsi="Arial" w:cs="Arial"/>
          <w:b/>
          <w:bCs/>
          <w:sz w:val="24"/>
          <w:szCs w:val="24"/>
        </w:rPr>
      </w:pPr>
      <w:r w:rsidRPr="00114456">
        <w:rPr>
          <w:rFonts w:ascii="Arial" w:hAnsi="Arial" w:cs="Arial"/>
          <w:b/>
          <w:bCs/>
          <w:sz w:val="24"/>
          <w:szCs w:val="24"/>
        </w:rPr>
        <w:t xml:space="preserve">Chronic </w:t>
      </w:r>
      <w:r w:rsidR="00A410A5">
        <w:rPr>
          <w:rFonts w:ascii="Arial" w:hAnsi="Arial" w:cs="Arial"/>
          <w:b/>
          <w:bCs/>
          <w:sz w:val="24"/>
          <w:szCs w:val="24"/>
        </w:rPr>
        <w:t>u</w:t>
      </w:r>
      <w:r w:rsidRPr="00114456">
        <w:rPr>
          <w:rFonts w:ascii="Arial" w:hAnsi="Arial" w:cs="Arial"/>
          <w:b/>
          <w:bCs/>
          <w:sz w:val="24"/>
          <w:szCs w:val="24"/>
        </w:rPr>
        <w:t xml:space="preserve">nderinvestment: A </w:t>
      </w:r>
      <w:r w:rsidR="00A410A5">
        <w:rPr>
          <w:rFonts w:ascii="Arial" w:hAnsi="Arial" w:cs="Arial"/>
          <w:b/>
          <w:bCs/>
          <w:sz w:val="24"/>
          <w:szCs w:val="24"/>
        </w:rPr>
        <w:t>b</w:t>
      </w:r>
      <w:r w:rsidRPr="00114456">
        <w:rPr>
          <w:rFonts w:ascii="Arial" w:hAnsi="Arial" w:cs="Arial"/>
          <w:b/>
          <w:bCs/>
          <w:sz w:val="24"/>
          <w:szCs w:val="24"/>
        </w:rPr>
        <w:t xml:space="preserve">arrier to </w:t>
      </w:r>
      <w:r w:rsidR="00A410A5">
        <w:rPr>
          <w:rFonts w:ascii="Arial" w:hAnsi="Arial" w:cs="Arial"/>
          <w:b/>
          <w:bCs/>
          <w:sz w:val="24"/>
          <w:szCs w:val="24"/>
        </w:rPr>
        <w:t>r</w:t>
      </w:r>
      <w:r w:rsidRPr="00114456">
        <w:rPr>
          <w:rFonts w:ascii="Arial" w:hAnsi="Arial" w:cs="Arial"/>
          <w:b/>
          <w:bCs/>
          <w:sz w:val="24"/>
          <w:szCs w:val="24"/>
        </w:rPr>
        <w:t xml:space="preserve">ural </w:t>
      </w:r>
      <w:r w:rsidR="00A410A5">
        <w:rPr>
          <w:rFonts w:ascii="Arial" w:hAnsi="Arial" w:cs="Arial"/>
          <w:b/>
          <w:bCs/>
          <w:sz w:val="24"/>
          <w:szCs w:val="24"/>
        </w:rPr>
        <w:t>p</w:t>
      </w:r>
      <w:r w:rsidRPr="00114456">
        <w:rPr>
          <w:rFonts w:ascii="Arial" w:hAnsi="Arial" w:cs="Arial"/>
          <w:b/>
          <w:bCs/>
          <w:sz w:val="24"/>
          <w:szCs w:val="24"/>
        </w:rPr>
        <w:t>rosperity</w:t>
      </w:r>
    </w:p>
    <w:p w14:paraId="1A329FA7" w14:textId="77777777" w:rsidR="00446ABC" w:rsidRPr="00114456" w:rsidRDefault="00492296" w:rsidP="00114456">
      <w:pPr>
        <w:spacing w:line="240" w:lineRule="auto"/>
        <w:rPr>
          <w:rFonts w:ascii="Arial" w:hAnsi="Arial" w:cs="Arial"/>
          <w:sz w:val="24"/>
          <w:szCs w:val="24"/>
        </w:rPr>
      </w:pPr>
      <w:r w:rsidRPr="00114456">
        <w:rPr>
          <w:rFonts w:ascii="Arial" w:hAnsi="Arial" w:cs="Arial"/>
          <w:sz w:val="24"/>
          <w:szCs w:val="24"/>
        </w:rPr>
        <w:t>For years, rural England has faced chronic underinvestment, resulting in a widening productivity gap with non-rural areas. Currently, the productivity of the rural economy stands at just 82% of its non-rural counterpart, and without intervention, this figure could drop to 79% by 2040. The report calls for immediate action to reverse this trend, warning that failure to address these disparities could have severe consequences for the national economy.</w:t>
      </w:r>
    </w:p>
    <w:p w14:paraId="23239606" w14:textId="4AECEF32" w:rsidR="00446ABC" w:rsidRPr="00114456" w:rsidRDefault="00492296" w:rsidP="00114456">
      <w:pPr>
        <w:rPr>
          <w:rFonts w:ascii="Arial" w:hAnsi="Arial" w:cs="Arial"/>
          <w:b/>
          <w:bCs/>
          <w:sz w:val="24"/>
          <w:szCs w:val="24"/>
        </w:rPr>
      </w:pPr>
      <w:r w:rsidRPr="00114456">
        <w:rPr>
          <w:rFonts w:ascii="Arial" w:hAnsi="Arial" w:cs="Arial"/>
          <w:b/>
          <w:bCs/>
          <w:sz w:val="24"/>
          <w:szCs w:val="24"/>
        </w:rPr>
        <w:t xml:space="preserve">A </w:t>
      </w:r>
      <w:r w:rsidR="00A410A5">
        <w:rPr>
          <w:rFonts w:ascii="Arial" w:hAnsi="Arial" w:cs="Arial"/>
          <w:b/>
          <w:bCs/>
          <w:sz w:val="24"/>
          <w:szCs w:val="24"/>
        </w:rPr>
        <w:t>c</w:t>
      </w:r>
      <w:r w:rsidRPr="00114456">
        <w:rPr>
          <w:rFonts w:ascii="Arial" w:hAnsi="Arial" w:cs="Arial"/>
          <w:b/>
          <w:bCs/>
          <w:sz w:val="24"/>
          <w:szCs w:val="24"/>
        </w:rPr>
        <w:t xml:space="preserve">all for </w:t>
      </w:r>
      <w:r w:rsidR="00A410A5">
        <w:rPr>
          <w:rFonts w:ascii="Arial" w:hAnsi="Arial" w:cs="Arial"/>
          <w:b/>
          <w:bCs/>
          <w:sz w:val="24"/>
          <w:szCs w:val="24"/>
        </w:rPr>
        <w:t>a</w:t>
      </w:r>
      <w:r w:rsidRPr="00114456">
        <w:rPr>
          <w:rFonts w:ascii="Arial" w:hAnsi="Arial" w:cs="Arial"/>
          <w:b/>
          <w:bCs/>
          <w:sz w:val="24"/>
          <w:szCs w:val="24"/>
        </w:rPr>
        <w:t xml:space="preserve">ction: Time for </w:t>
      </w:r>
      <w:r w:rsidR="00A410A5">
        <w:rPr>
          <w:rFonts w:ascii="Arial" w:hAnsi="Arial" w:cs="Arial"/>
          <w:b/>
          <w:bCs/>
          <w:sz w:val="24"/>
          <w:szCs w:val="24"/>
        </w:rPr>
        <w:t>c</w:t>
      </w:r>
      <w:r w:rsidRPr="00114456">
        <w:rPr>
          <w:rFonts w:ascii="Arial" w:hAnsi="Arial" w:cs="Arial"/>
          <w:b/>
          <w:bCs/>
          <w:sz w:val="24"/>
          <w:szCs w:val="24"/>
        </w:rPr>
        <w:t>hange</w:t>
      </w:r>
    </w:p>
    <w:p w14:paraId="273F1B2E" w14:textId="57ADE058" w:rsidR="00446ABC" w:rsidRDefault="00492296" w:rsidP="00114456">
      <w:pPr>
        <w:spacing w:line="240" w:lineRule="auto"/>
        <w:rPr>
          <w:rFonts w:ascii="Arial" w:hAnsi="Arial" w:cs="Arial"/>
          <w:sz w:val="24"/>
          <w:szCs w:val="24"/>
        </w:rPr>
      </w:pPr>
      <w:r w:rsidRPr="00114456">
        <w:rPr>
          <w:rFonts w:ascii="Arial" w:hAnsi="Arial" w:cs="Arial"/>
          <w:sz w:val="24"/>
          <w:szCs w:val="24"/>
        </w:rPr>
        <w:t>The report advocates for a comprehensive policy overhaul that addresses the unique challenges faced by rural communities. Key recommendations include targeted investments in rural infrastructure, ensuring fair funding</w:t>
      </w:r>
      <w:r w:rsidR="005C38F7">
        <w:rPr>
          <w:rFonts w:ascii="Arial" w:hAnsi="Arial" w:cs="Arial"/>
          <w:sz w:val="24"/>
          <w:szCs w:val="24"/>
        </w:rPr>
        <w:t xml:space="preserve"> for rural councils and other public services</w:t>
      </w:r>
      <w:r w:rsidRPr="00114456">
        <w:rPr>
          <w:rFonts w:ascii="Arial" w:hAnsi="Arial" w:cs="Arial"/>
          <w:sz w:val="24"/>
          <w:szCs w:val="24"/>
        </w:rPr>
        <w:t>, and empowering local governance. With the right policies in place, rural England has the potential to contribute far more significantly to the UK’s economic future. The time for action is now, and the report highlights that these changes are not just beneficial but essential for national prosperity.</w:t>
      </w:r>
    </w:p>
    <w:p w14:paraId="5D988037" w14:textId="77777777" w:rsidR="001F0192" w:rsidRDefault="001F0192" w:rsidP="00114456">
      <w:pPr>
        <w:spacing w:line="240" w:lineRule="auto"/>
        <w:rPr>
          <w:rFonts w:ascii="Arial" w:hAnsi="Arial" w:cs="Arial"/>
          <w:sz w:val="24"/>
          <w:szCs w:val="24"/>
        </w:rPr>
      </w:pPr>
    </w:p>
    <w:p w14:paraId="28B26B7C" w14:textId="0D259B43" w:rsidR="001F0192" w:rsidRPr="00114456" w:rsidRDefault="001F0192" w:rsidP="00114456">
      <w:pPr>
        <w:spacing w:line="240" w:lineRule="auto"/>
        <w:rPr>
          <w:rFonts w:ascii="Arial" w:hAnsi="Arial" w:cs="Arial"/>
          <w:sz w:val="24"/>
          <w:szCs w:val="24"/>
        </w:rPr>
      </w:pPr>
      <w:r>
        <w:rPr>
          <w:rFonts w:ascii="Arial" w:hAnsi="Arial" w:cs="Arial"/>
          <w:sz w:val="24"/>
          <w:szCs w:val="24"/>
        </w:rPr>
        <w:lastRenderedPageBreak/>
        <w:t xml:space="preserve">The report builds on the </w:t>
      </w:r>
      <w:r w:rsidR="00983883">
        <w:rPr>
          <w:rFonts w:ascii="Arial" w:hAnsi="Arial" w:cs="Arial"/>
          <w:sz w:val="24"/>
          <w:szCs w:val="24"/>
        </w:rPr>
        <w:t xml:space="preserve">Rural </w:t>
      </w:r>
      <w:r>
        <w:rPr>
          <w:rFonts w:ascii="Arial" w:hAnsi="Arial" w:cs="Arial"/>
          <w:sz w:val="24"/>
          <w:szCs w:val="24"/>
        </w:rPr>
        <w:t xml:space="preserve">Coalition roadmap, </w:t>
      </w:r>
      <w:hyperlink r:id="rId12" w:history="1">
        <w:r w:rsidRPr="001F0192">
          <w:rPr>
            <w:rStyle w:val="Hyperlink"/>
            <w:rFonts w:ascii="Arial" w:hAnsi="Arial" w:cs="Arial"/>
            <w:sz w:val="24"/>
            <w:szCs w:val="24"/>
          </w:rPr>
          <w:t>A Better Future for Rural England: an Opportunity for Change,</w:t>
        </w:r>
      </w:hyperlink>
      <w:r>
        <w:rPr>
          <w:rFonts w:ascii="Arial" w:hAnsi="Arial" w:cs="Arial"/>
          <w:sz w:val="24"/>
          <w:szCs w:val="24"/>
        </w:rPr>
        <w:t xml:space="preserve">  which sets out nine policy principles to address the structural inequalities and weaknesses facing rural areas and the people who live and work in rural England.  </w:t>
      </w:r>
    </w:p>
    <w:p w14:paraId="0F1A8424" w14:textId="6BDF6BD2" w:rsidR="00446ABC" w:rsidRDefault="00492296" w:rsidP="00114456">
      <w:pPr>
        <w:spacing w:line="240" w:lineRule="auto"/>
        <w:rPr>
          <w:rFonts w:ascii="Arial" w:hAnsi="Arial" w:cs="Arial"/>
          <w:sz w:val="24"/>
          <w:szCs w:val="24"/>
        </w:rPr>
      </w:pPr>
      <w:r w:rsidRPr="00114456">
        <w:rPr>
          <w:rFonts w:ascii="Arial" w:hAnsi="Arial" w:cs="Arial"/>
          <w:sz w:val="24"/>
          <w:szCs w:val="24"/>
        </w:rPr>
        <w:t xml:space="preserve">The findings of this report serve as a powerful reminder of the untapped potential within rural England. As the government seeks to drive economic growth, it must </w:t>
      </w:r>
      <w:proofErr w:type="spellStart"/>
      <w:r w:rsidRPr="00114456">
        <w:rPr>
          <w:rFonts w:ascii="Arial" w:hAnsi="Arial" w:cs="Arial"/>
          <w:sz w:val="24"/>
          <w:szCs w:val="24"/>
        </w:rPr>
        <w:t>recogni</w:t>
      </w:r>
      <w:r w:rsidR="00114456">
        <w:rPr>
          <w:rFonts w:ascii="Arial" w:hAnsi="Arial" w:cs="Arial"/>
          <w:sz w:val="24"/>
          <w:szCs w:val="24"/>
        </w:rPr>
        <w:t>s</w:t>
      </w:r>
      <w:r w:rsidRPr="00114456">
        <w:rPr>
          <w:rFonts w:ascii="Arial" w:hAnsi="Arial" w:cs="Arial"/>
          <w:sz w:val="24"/>
          <w:szCs w:val="24"/>
        </w:rPr>
        <w:t>e</w:t>
      </w:r>
      <w:proofErr w:type="spellEnd"/>
      <w:r w:rsidRPr="00114456">
        <w:rPr>
          <w:rFonts w:ascii="Arial" w:hAnsi="Arial" w:cs="Arial"/>
          <w:sz w:val="24"/>
          <w:szCs w:val="24"/>
        </w:rPr>
        <w:t xml:space="preserve"> the critical role that rural areas can play in the nation’s prosperity. The Rural Coalition’s call for action is clear: with the right support, rural communities can flourish, contributing billions to the economy and enhancing the quality of life across the UK. The time for change is now.</w:t>
      </w:r>
    </w:p>
    <w:p w14:paraId="58F4ADF1" w14:textId="54ACEC08" w:rsidR="001B3A12" w:rsidRPr="001B3A12" w:rsidRDefault="001B3A12" w:rsidP="001B3A12">
      <w:pPr>
        <w:spacing w:line="240" w:lineRule="auto"/>
        <w:rPr>
          <w:rFonts w:ascii="Arial" w:hAnsi="Arial" w:cs="Arial"/>
          <w:i/>
          <w:iCs/>
          <w:sz w:val="24"/>
          <w:szCs w:val="24"/>
          <w:lang w:val="en-GB"/>
        </w:rPr>
      </w:pPr>
      <w:r w:rsidRPr="006B178C">
        <w:rPr>
          <w:rFonts w:ascii="Arial" w:hAnsi="Arial" w:cs="Arial"/>
          <w:b/>
          <w:bCs/>
          <w:sz w:val="24"/>
          <w:szCs w:val="24"/>
        </w:rPr>
        <w:t>Margaret Clark, Chair of the Rural Coalition said,</w:t>
      </w:r>
      <w:r w:rsidRPr="001B3A12">
        <w:rPr>
          <w:rFonts w:ascii="Arial" w:hAnsi="Arial" w:cs="Arial"/>
          <w:i/>
          <w:iCs/>
          <w:sz w:val="24"/>
          <w:szCs w:val="24"/>
        </w:rPr>
        <w:t xml:space="preserve"> “</w:t>
      </w:r>
      <w:r w:rsidRPr="001B3A12">
        <w:rPr>
          <w:rFonts w:ascii="Arial" w:hAnsi="Arial" w:cs="Arial"/>
          <w:i/>
          <w:iCs/>
          <w:sz w:val="24"/>
          <w:szCs w:val="24"/>
          <w:lang w:val="en-GB"/>
        </w:rPr>
        <w:t>This report shows, once and for all, that rural areas are part of the solution to the growth of the nation.  It makes economic sense to invest in improving rural infrastructure and tackling existing inequalities.  But there is no silver bullet.  It requires concerted action across government and a policy framework that recognises that ‘thinking rural’ and tailoring policies and programmes to meet rural circumstances will reap positive benefits for us all.”</w:t>
      </w:r>
    </w:p>
    <w:p w14:paraId="28C9C2EF" w14:textId="2D095E4D" w:rsidR="00C752C2" w:rsidRPr="00C752C2" w:rsidRDefault="00C752C2" w:rsidP="00C752C2">
      <w:pPr>
        <w:spacing w:line="240" w:lineRule="auto"/>
        <w:rPr>
          <w:rFonts w:ascii="Arial" w:hAnsi="Arial" w:cs="Arial"/>
          <w:sz w:val="24"/>
          <w:szCs w:val="24"/>
          <w:lang w:val="en-GB"/>
        </w:rPr>
      </w:pPr>
      <w:r w:rsidRPr="006B178C">
        <w:rPr>
          <w:rFonts w:ascii="Arial" w:hAnsi="Arial" w:cs="Arial"/>
          <w:b/>
          <w:bCs/>
          <w:sz w:val="24"/>
          <w:szCs w:val="24"/>
        </w:rPr>
        <w:t xml:space="preserve">Mark </w:t>
      </w:r>
      <w:proofErr w:type="spellStart"/>
      <w:r w:rsidRPr="006B178C">
        <w:rPr>
          <w:rFonts w:ascii="Arial" w:hAnsi="Arial" w:cs="Arial"/>
          <w:b/>
          <w:bCs/>
          <w:sz w:val="24"/>
          <w:szCs w:val="24"/>
        </w:rPr>
        <w:t>Pragnell</w:t>
      </w:r>
      <w:proofErr w:type="spellEnd"/>
      <w:r w:rsidRPr="006B178C">
        <w:rPr>
          <w:rFonts w:ascii="Arial" w:hAnsi="Arial" w:cs="Arial"/>
          <w:b/>
          <w:bCs/>
          <w:sz w:val="24"/>
          <w:szCs w:val="24"/>
        </w:rPr>
        <w:t xml:space="preserve"> of </w:t>
      </w:r>
      <w:proofErr w:type="spellStart"/>
      <w:r w:rsidRPr="006B178C">
        <w:rPr>
          <w:rFonts w:ascii="Arial" w:hAnsi="Arial" w:cs="Arial"/>
          <w:b/>
          <w:bCs/>
          <w:sz w:val="24"/>
          <w:szCs w:val="24"/>
        </w:rPr>
        <w:t>Pragmatix</w:t>
      </w:r>
      <w:proofErr w:type="spellEnd"/>
      <w:r w:rsidRPr="006B178C">
        <w:rPr>
          <w:rFonts w:ascii="Arial" w:hAnsi="Arial" w:cs="Arial"/>
          <w:b/>
          <w:bCs/>
          <w:sz w:val="24"/>
          <w:szCs w:val="24"/>
        </w:rPr>
        <w:t xml:space="preserve"> Advisory said,</w:t>
      </w:r>
      <w:r>
        <w:rPr>
          <w:rFonts w:ascii="Arial" w:hAnsi="Arial" w:cs="Arial"/>
          <w:sz w:val="24"/>
          <w:szCs w:val="24"/>
        </w:rPr>
        <w:t xml:space="preserve"> “</w:t>
      </w:r>
      <w:r w:rsidRPr="00C752C2">
        <w:rPr>
          <w:rFonts w:ascii="Arial" w:hAnsi="Arial" w:cs="Arial"/>
          <w:i/>
          <w:iCs/>
          <w:sz w:val="24"/>
          <w:szCs w:val="24"/>
          <w:lang w:val="en-GB"/>
        </w:rPr>
        <w:t>By examining nations like Norway, Sweden, Finland and Denmark, whose rural areas share key similarities with England’s, our analysis reveals the scale of opportunity available. The report shows that if the foundations for rural growth matched these Scandinavian countries, it could generate an additional £50 billion annually for the national economy and £19 billion extra in taxes for the Chancellor.</w:t>
      </w:r>
      <w:r w:rsidRPr="00C752C2">
        <w:rPr>
          <w:rFonts w:ascii="Arial" w:hAnsi="Arial" w:cs="Arial"/>
          <w:sz w:val="24"/>
          <w:szCs w:val="24"/>
          <w:lang w:val="en-GB"/>
        </w:rPr>
        <w:t> “</w:t>
      </w:r>
    </w:p>
    <w:p w14:paraId="57E4A15C" w14:textId="5F481993" w:rsidR="001A6049" w:rsidRPr="00C752C2" w:rsidRDefault="001A6049" w:rsidP="00114456">
      <w:pPr>
        <w:spacing w:line="240" w:lineRule="auto"/>
        <w:rPr>
          <w:rFonts w:ascii="Arial" w:hAnsi="Arial" w:cs="Arial"/>
          <w:sz w:val="24"/>
          <w:szCs w:val="24"/>
        </w:rPr>
      </w:pPr>
    </w:p>
    <w:p w14:paraId="0E7FF220" w14:textId="1051B857" w:rsidR="00114456" w:rsidRDefault="00114456" w:rsidP="006B178C">
      <w:pPr>
        <w:spacing w:line="240" w:lineRule="auto"/>
        <w:jc w:val="center"/>
        <w:rPr>
          <w:rFonts w:ascii="Arial" w:hAnsi="Arial" w:cs="Arial"/>
          <w:b/>
          <w:bCs/>
          <w:i/>
          <w:iCs/>
          <w:sz w:val="24"/>
          <w:szCs w:val="24"/>
        </w:rPr>
      </w:pPr>
      <w:r w:rsidRPr="00114456">
        <w:rPr>
          <w:rFonts w:ascii="Arial" w:hAnsi="Arial" w:cs="Arial"/>
          <w:b/>
          <w:bCs/>
          <w:i/>
          <w:iCs/>
          <w:sz w:val="24"/>
          <w:szCs w:val="24"/>
        </w:rPr>
        <w:t>ENDS</w:t>
      </w:r>
      <w:r>
        <w:rPr>
          <w:rFonts w:ascii="Arial" w:hAnsi="Arial" w:cs="Arial"/>
          <w:b/>
          <w:bCs/>
          <w:i/>
          <w:iCs/>
          <w:sz w:val="24"/>
          <w:szCs w:val="24"/>
        </w:rPr>
        <w:t>.</w:t>
      </w:r>
    </w:p>
    <w:p w14:paraId="205217B2" w14:textId="78ECB648" w:rsidR="00114456" w:rsidRPr="00E349E6" w:rsidRDefault="009862B3" w:rsidP="00114456">
      <w:pPr>
        <w:spacing w:line="240" w:lineRule="auto"/>
        <w:rPr>
          <w:rFonts w:ascii="Arial" w:hAnsi="Arial" w:cs="Arial"/>
        </w:rPr>
      </w:pPr>
      <w:r>
        <w:rPr>
          <w:rFonts w:ascii="Arial" w:hAnsi="Arial" w:cs="Arial"/>
          <w:noProof/>
          <w:sz w:val="24"/>
          <w:szCs w:val="24"/>
        </w:rPr>
        <w:drawing>
          <wp:anchor distT="0" distB="0" distL="114300" distR="114300" simplePos="0" relativeHeight="251658240" behindDoc="0" locked="0" layoutInCell="1" allowOverlap="1" wp14:anchorId="6714B790" wp14:editId="79BED90D">
            <wp:simplePos x="0" y="0"/>
            <wp:positionH relativeFrom="margin">
              <wp:posOffset>-53340</wp:posOffset>
            </wp:positionH>
            <wp:positionV relativeFrom="paragraph">
              <wp:posOffset>299720</wp:posOffset>
            </wp:positionV>
            <wp:extent cx="1912620" cy="1074420"/>
            <wp:effectExtent l="0" t="0" r="0" b="0"/>
            <wp:wrapSquare wrapText="bothSides"/>
            <wp:docPr id="675379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379384" name="Picture 675379384"/>
                    <pic:cNvPicPr/>
                  </pic:nvPicPr>
                  <pic:blipFill>
                    <a:blip r:embed="rId9"/>
                    <a:stretch>
                      <a:fillRect/>
                    </a:stretch>
                  </pic:blipFill>
                  <pic:spPr>
                    <a:xfrm>
                      <a:off x="0" y="0"/>
                      <a:ext cx="1912620" cy="1074420"/>
                    </a:xfrm>
                    <a:prstGeom prst="rect">
                      <a:avLst/>
                    </a:prstGeom>
                  </pic:spPr>
                </pic:pic>
              </a:graphicData>
            </a:graphic>
            <wp14:sizeRelH relativeFrom="margin">
              <wp14:pctWidth>0</wp14:pctWidth>
            </wp14:sizeRelH>
            <wp14:sizeRelV relativeFrom="margin">
              <wp14:pctHeight>0</wp14:pctHeight>
            </wp14:sizeRelV>
          </wp:anchor>
        </w:drawing>
      </w:r>
      <w:r w:rsidR="00114456" w:rsidRPr="00114456">
        <w:rPr>
          <w:rFonts w:ascii="Arial" w:hAnsi="Arial" w:cs="Arial"/>
          <w:sz w:val="24"/>
          <w:szCs w:val="24"/>
        </w:rPr>
        <w:t>---</w:t>
      </w:r>
    </w:p>
    <w:p w14:paraId="074C1EEA" w14:textId="279ACE65" w:rsidR="00446ABC" w:rsidRPr="00E349E6" w:rsidRDefault="00114456" w:rsidP="00114456">
      <w:pPr>
        <w:spacing w:line="240" w:lineRule="auto"/>
        <w:rPr>
          <w:rFonts w:ascii="Arial" w:hAnsi="Arial" w:cs="Arial"/>
          <w:b/>
          <w:bCs/>
        </w:rPr>
      </w:pPr>
      <w:r w:rsidRPr="00E349E6">
        <w:rPr>
          <w:rFonts w:ascii="Arial" w:hAnsi="Arial" w:cs="Arial"/>
          <w:b/>
          <w:bCs/>
        </w:rPr>
        <w:t>F</w:t>
      </w:r>
      <w:r w:rsidR="00492296" w:rsidRPr="00E349E6">
        <w:rPr>
          <w:rFonts w:ascii="Arial" w:hAnsi="Arial" w:cs="Arial"/>
          <w:b/>
          <w:bCs/>
        </w:rPr>
        <w:t>or more inf</w:t>
      </w:r>
      <w:r w:rsidRPr="00E349E6">
        <w:rPr>
          <w:rFonts w:ascii="Arial" w:hAnsi="Arial" w:cs="Arial"/>
          <w:b/>
          <w:bCs/>
        </w:rPr>
        <w:t>ormation or media enquiries</w:t>
      </w:r>
      <w:r w:rsidR="00492296" w:rsidRPr="00E349E6">
        <w:rPr>
          <w:rFonts w:ascii="Arial" w:hAnsi="Arial" w:cs="Arial"/>
          <w:b/>
          <w:bCs/>
        </w:rPr>
        <w:t>, please contact:</w:t>
      </w:r>
    </w:p>
    <w:p w14:paraId="0E4AB594" w14:textId="4F770472" w:rsidR="00446ABC" w:rsidRPr="00E349E6" w:rsidRDefault="006B178C" w:rsidP="00114456">
      <w:pPr>
        <w:spacing w:line="240" w:lineRule="auto"/>
        <w:rPr>
          <w:rFonts w:ascii="Arial" w:hAnsi="Arial" w:cs="Arial"/>
        </w:rPr>
      </w:pPr>
      <w:r>
        <w:rPr>
          <w:rFonts w:ascii="Arial" w:hAnsi="Arial" w:cs="Arial"/>
        </w:rPr>
        <w:t xml:space="preserve">Lucy Smith, Lexington Communications </w:t>
      </w:r>
      <w:hyperlink r:id="rId13" w:history="1">
        <w:r w:rsidRPr="003F5ADF">
          <w:rPr>
            <w:rStyle w:val="Hyperlink"/>
            <w:rFonts w:ascii="Arial" w:hAnsi="Arial" w:cs="Arial"/>
          </w:rPr>
          <w:t>lucy.smith@lexcomm.co.uk</w:t>
        </w:r>
      </w:hyperlink>
      <w:r>
        <w:rPr>
          <w:rFonts w:ascii="Arial" w:hAnsi="Arial" w:cs="Arial"/>
        </w:rPr>
        <w:t>; (+44) 7921 450882</w:t>
      </w:r>
    </w:p>
    <w:p w14:paraId="42005BAF" w14:textId="77777777" w:rsidR="009862B3" w:rsidRPr="00E349E6" w:rsidRDefault="009862B3" w:rsidP="00114456">
      <w:pPr>
        <w:rPr>
          <w:rFonts w:ascii="Arial" w:hAnsi="Arial" w:cs="Arial"/>
          <w:b/>
          <w:bCs/>
        </w:rPr>
      </w:pPr>
    </w:p>
    <w:p w14:paraId="42733087" w14:textId="77777777" w:rsidR="00F51087" w:rsidRPr="00E349E6" w:rsidRDefault="00F51087" w:rsidP="00114456">
      <w:pPr>
        <w:rPr>
          <w:rFonts w:ascii="Arial" w:hAnsi="Arial" w:cs="Arial"/>
          <w:b/>
          <w:bCs/>
        </w:rPr>
      </w:pPr>
    </w:p>
    <w:p w14:paraId="15B21D84" w14:textId="56B03F24" w:rsidR="00114456" w:rsidRPr="00E349E6" w:rsidRDefault="00114456" w:rsidP="00114456">
      <w:pPr>
        <w:rPr>
          <w:rFonts w:ascii="Arial" w:hAnsi="Arial" w:cs="Arial"/>
          <w:b/>
          <w:bCs/>
        </w:rPr>
      </w:pPr>
      <w:r w:rsidRPr="00E349E6">
        <w:rPr>
          <w:rFonts w:ascii="Arial" w:hAnsi="Arial" w:cs="Arial"/>
          <w:b/>
          <w:bCs/>
        </w:rPr>
        <w:t>About The Rural Coalition</w:t>
      </w:r>
    </w:p>
    <w:p w14:paraId="6316C17D" w14:textId="77777777" w:rsidR="001B3A12" w:rsidRPr="001B3A12" w:rsidRDefault="001B3A12" w:rsidP="001B3A12">
      <w:pPr>
        <w:spacing w:line="240" w:lineRule="auto"/>
        <w:rPr>
          <w:rFonts w:ascii="Arial" w:hAnsi="Arial" w:cs="Arial"/>
          <w:lang w:val="en-GB"/>
        </w:rPr>
      </w:pPr>
      <w:r w:rsidRPr="001B3A12">
        <w:rPr>
          <w:rFonts w:ascii="Arial" w:hAnsi="Arial" w:cs="Arial"/>
          <w:lang w:val="en-GB"/>
        </w:rPr>
        <w:t>The Rural Coalition is an alliance of twelve national organisations, each with its own perspective and expertise, but who share a vision of a living, working countryside in England and work together in common cause.</w:t>
      </w:r>
    </w:p>
    <w:p w14:paraId="7CC7F0BE" w14:textId="29DB58E3" w:rsidR="009D38D6" w:rsidRPr="00E349E6" w:rsidRDefault="009D38D6" w:rsidP="00114456">
      <w:pPr>
        <w:spacing w:line="240" w:lineRule="auto"/>
        <w:rPr>
          <w:rFonts w:ascii="Arial" w:hAnsi="Arial" w:cs="Arial"/>
          <w:b/>
          <w:bCs/>
        </w:rPr>
      </w:pPr>
      <w:r w:rsidRPr="00E349E6">
        <w:rPr>
          <w:rFonts w:ascii="Arial" w:hAnsi="Arial" w:cs="Arial"/>
          <w:b/>
          <w:bCs/>
        </w:rPr>
        <w:t>Members of the Rural Coalition</w:t>
      </w:r>
    </w:p>
    <w:p w14:paraId="208DEAEA" w14:textId="77777777" w:rsidR="009D38D6" w:rsidRPr="00E349E6" w:rsidRDefault="009D38D6" w:rsidP="00E349E6">
      <w:pPr>
        <w:spacing w:line="240" w:lineRule="auto"/>
        <w:rPr>
          <w:rFonts w:ascii="Arial" w:hAnsi="Arial" w:cs="Arial"/>
        </w:rPr>
      </w:pPr>
      <w:hyperlink r:id="rId14" w:history="1">
        <w:r w:rsidRPr="00E349E6">
          <w:rPr>
            <w:rStyle w:val="Hyperlink"/>
            <w:rFonts w:ascii="Arial" w:hAnsi="Arial" w:cs="Arial"/>
          </w:rPr>
          <w:t>Action with Communities in Rural England</w:t>
        </w:r>
      </w:hyperlink>
    </w:p>
    <w:p w14:paraId="7F79C9ED" w14:textId="77777777" w:rsidR="009D38D6" w:rsidRPr="00E349E6" w:rsidRDefault="009D38D6" w:rsidP="00E349E6">
      <w:pPr>
        <w:spacing w:line="240" w:lineRule="auto"/>
        <w:rPr>
          <w:rFonts w:ascii="Arial" w:hAnsi="Arial" w:cs="Arial"/>
        </w:rPr>
      </w:pPr>
      <w:hyperlink r:id="rId15" w:history="1">
        <w:r w:rsidRPr="00E349E6">
          <w:rPr>
            <w:rStyle w:val="Hyperlink"/>
            <w:rFonts w:ascii="Arial" w:hAnsi="Arial" w:cs="Arial"/>
          </w:rPr>
          <w:t>Arthur Rank Centre</w:t>
        </w:r>
      </w:hyperlink>
    </w:p>
    <w:p w14:paraId="2725F735" w14:textId="77777777" w:rsidR="009D38D6" w:rsidRPr="00E349E6" w:rsidRDefault="009D38D6" w:rsidP="00E349E6">
      <w:pPr>
        <w:spacing w:line="240" w:lineRule="auto"/>
        <w:rPr>
          <w:rFonts w:ascii="Arial" w:hAnsi="Arial" w:cs="Arial"/>
        </w:rPr>
      </w:pPr>
      <w:hyperlink r:id="rId16" w:history="1">
        <w:r w:rsidRPr="00E349E6">
          <w:rPr>
            <w:rStyle w:val="Hyperlink"/>
            <w:rFonts w:ascii="Arial" w:hAnsi="Arial" w:cs="Arial"/>
          </w:rPr>
          <w:t>CPRE – The Countryside Charity</w:t>
        </w:r>
      </w:hyperlink>
    </w:p>
    <w:p w14:paraId="7689656C" w14:textId="77777777" w:rsidR="009D38D6" w:rsidRPr="00E349E6" w:rsidRDefault="009D38D6" w:rsidP="00E349E6">
      <w:pPr>
        <w:spacing w:line="240" w:lineRule="auto"/>
        <w:rPr>
          <w:rFonts w:ascii="Arial" w:hAnsi="Arial" w:cs="Arial"/>
        </w:rPr>
      </w:pPr>
      <w:hyperlink r:id="rId17" w:history="1">
        <w:r w:rsidRPr="00E349E6">
          <w:rPr>
            <w:rStyle w:val="Hyperlink"/>
            <w:rFonts w:ascii="Arial" w:hAnsi="Arial" w:cs="Arial"/>
          </w:rPr>
          <w:t>National Association of Local Councils</w:t>
        </w:r>
      </w:hyperlink>
    </w:p>
    <w:p w14:paraId="1004D0C8" w14:textId="77777777" w:rsidR="009D38D6" w:rsidRPr="00E349E6" w:rsidRDefault="009D38D6" w:rsidP="00E349E6">
      <w:pPr>
        <w:spacing w:line="240" w:lineRule="auto"/>
        <w:rPr>
          <w:rFonts w:ascii="Arial" w:hAnsi="Arial" w:cs="Arial"/>
        </w:rPr>
      </w:pPr>
      <w:hyperlink r:id="rId18" w:history="1">
        <w:r w:rsidRPr="00E349E6">
          <w:rPr>
            <w:rStyle w:val="Hyperlink"/>
            <w:rFonts w:ascii="Arial" w:hAnsi="Arial" w:cs="Arial"/>
          </w:rPr>
          <w:t>National Centre for Rural Health and Care</w:t>
        </w:r>
      </w:hyperlink>
    </w:p>
    <w:p w14:paraId="23CA358A" w14:textId="77777777" w:rsidR="009D38D6" w:rsidRPr="00E349E6" w:rsidRDefault="009D38D6" w:rsidP="00E349E6">
      <w:pPr>
        <w:spacing w:line="240" w:lineRule="auto"/>
        <w:rPr>
          <w:rFonts w:ascii="Arial" w:hAnsi="Arial" w:cs="Arial"/>
        </w:rPr>
      </w:pPr>
      <w:hyperlink r:id="rId19" w:history="1">
        <w:r w:rsidRPr="00E349E6">
          <w:rPr>
            <w:rStyle w:val="Hyperlink"/>
            <w:rFonts w:ascii="Arial" w:hAnsi="Arial" w:cs="Arial"/>
          </w:rPr>
          <w:t>National Farmers Union</w:t>
        </w:r>
      </w:hyperlink>
    </w:p>
    <w:p w14:paraId="1F74C168" w14:textId="77777777" w:rsidR="009D38D6" w:rsidRPr="00E349E6" w:rsidRDefault="009D38D6" w:rsidP="00E349E6">
      <w:pPr>
        <w:spacing w:line="240" w:lineRule="auto"/>
        <w:rPr>
          <w:rFonts w:ascii="Arial" w:hAnsi="Arial" w:cs="Arial"/>
        </w:rPr>
      </w:pPr>
      <w:hyperlink r:id="rId20" w:history="1">
        <w:r w:rsidRPr="00E349E6">
          <w:rPr>
            <w:rStyle w:val="Hyperlink"/>
            <w:rFonts w:ascii="Arial" w:hAnsi="Arial" w:cs="Arial"/>
          </w:rPr>
          <w:t>National Housing Federation</w:t>
        </w:r>
      </w:hyperlink>
    </w:p>
    <w:p w14:paraId="5D2C7730" w14:textId="77777777" w:rsidR="009D38D6" w:rsidRPr="00E349E6" w:rsidRDefault="009D38D6" w:rsidP="00E349E6">
      <w:pPr>
        <w:spacing w:line="240" w:lineRule="auto"/>
        <w:rPr>
          <w:rFonts w:ascii="Arial" w:hAnsi="Arial" w:cs="Arial"/>
        </w:rPr>
      </w:pPr>
      <w:hyperlink r:id="rId21" w:history="1">
        <w:r w:rsidRPr="00E349E6">
          <w:rPr>
            <w:rStyle w:val="Hyperlink"/>
            <w:rFonts w:ascii="Arial" w:hAnsi="Arial" w:cs="Arial"/>
          </w:rPr>
          <w:t>Plunkett UK</w:t>
        </w:r>
      </w:hyperlink>
    </w:p>
    <w:p w14:paraId="0DE5666D" w14:textId="77777777" w:rsidR="009D38D6" w:rsidRPr="00E349E6" w:rsidRDefault="009D38D6" w:rsidP="00E349E6">
      <w:pPr>
        <w:spacing w:line="240" w:lineRule="auto"/>
        <w:rPr>
          <w:rFonts w:ascii="Arial" w:hAnsi="Arial" w:cs="Arial"/>
        </w:rPr>
      </w:pPr>
      <w:hyperlink r:id="rId22" w:history="1">
        <w:r w:rsidRPr="00E349E6">
          <w:rPr>
            <w:rStyle w:val="Hyperlink"/>
            <w:rFonts w:ascii="Arial" w:hAnsi="Arial" w:cs="Arial"/>
          </w:rPr>
          <w:t>Royal Institution of Chartered Surveyors</w:t>
        </w:r>
      </w:hyperlink>
    </w:p>
    <w:p w14:paraId="34970BFC" w14:textId="77777777" w:rsidR="009D38D6" w:rsidRPr="00E349E6" w:rsidRDefault="009D38D6" w:rsidP="00E349E6">
      <w:pPr>
        <w:spacing w:line="240" w:lineRule="auto"/>
        <w:rPr>
          <w:rFonts w:ascii="Arial" w:hAnsi="Arial" w:cs="Arial"/>
        </w:rPr>
      </w:pPr>
      <w:hyperlink r:id="rId23" w:history="1">
        <w:r w:rsidRPr="00E349E6">
          <w:rPr>
            <w:rStyle w:val="Hyperlink"/>
            <w:rFonts w:ascii="Arial" w:hAnsi="Arial" w:cs="Arial"/>
          </w:rPr>
          <w:t>Royal Town Planning Institute</w:t>
        </w:r>
      </w:hyperlink>
    </w:p>
    <w:p w14:paraId="21B398B7" w14:textId="77777777" w:rsidR="009D38D6" w:rsidRPr="00E349E6" w:rsidRDefault="009D38D6" w:rsidP="00E349E6">
      <w:pPr>
        <w:spacing w:line="240" w:lineRule="auto"/>
        <w:rPr>
          <w:rFonts w:ascii="Arial" w:hAnsi="Arial" w:cs="Arial"/>
        </w:rPr>
      </w:pPr>
      <w:hyperlink r:id="rId24" w:history="1">
        <w:r w:rsidRPr="00E349E6">
          <w:rPr>
            <w:rStyle w:val="Hyperlink"/>
            <w:rFonts w:ascii="Arial" w:hAnsi="Arial" w:cs="Arial"/>
          </w:rPr>
          <w:t>Rural Services Network</w:t>
        </w:r>
      </w:hyperlink>
    </w:p>
    <w:p w14:paraId="01F679FA" w14:textId="77777777" w:rsidR="009D38D6" w:rsidRPr="00E349E6" w:rsidRDefault="009D38D6" w:rsidP="00E349E6">
      <w:pPr>
        <w:spacing w:line="240" w:lineRule="auto"/>
        <w:rPr>
          <w:rFonts w:ascii="Arial" w:hAnsi="Arial" w:cs="Arial"/>
        </w:rPr>
      </w:pPr>
      <w:hyperlink r:id="rId25" w:history="1">
        <w:r w:rsidRPr="00E349E6">
          <w:rPr>
            <w:rStyle w:val="Hyperlink"/>
            <w:rFonts w:ascii="Arial" w:hAnsi="Arial" w:cs="Arial"/>
          </w:rPr>
          <w:t>Town and Country Planning Association</w:t>
        </w:r>
      </w:hyperlink>
    </w:p>
    <w:p w14:paraId="122C142D" w14:textId="77777777" w:rsidR="00114456" w:rsidRPr="00E349E6" w:rsidRDefault="00114456" w:rsidP="00114456">
      <w:pPr>
        <w:spacing w:line="240" w:lineRule="auto"/>
        <w:rPr>
          <w:rFonts w:ascii="Arial" w:hAnsi="Arial" w:cs="Arial"/>
        </w:rPr>
      </w:pPr>
    </w:p>
    <w:p w14:paraId="585DE48B" w14:textId="77777777" w:rsidR="00446ABC" w:rsidRPr="00E349E6" w:rsidRDefault="00492296" w:rsidP="001E1DF0">
      <w:pPr>
        <w:rPr>
          <w:rFonts w:ascii="Arial" w:hAnsi="Arial" w:cs="Arial"/>
          <w:b/>
          <w:bCs/>
        </w:rPr>
      </w:pPr>
      <w:r w:rsidRPr="00E349E6">
        <w:rPr>
          <w:rFonts w:ascii="Arial" w:hAnsi="Arial" w:cs="Arial"/>
          <w:b/>
          <w:bCs/>
        </w:rPr>
        <w:t xml:space="preserve">About </w:t>
      </w:r>
      <w:proofErr w:type="spellStart"/>
      <w:r w:rsidRPr="00E349E6">
        <w:rPr>
          <w:rFonts w:ascii="Arial" w:hAnsi="Arial" w:cs="Arial"/>
          <w:b/>
          <w:bCs/>
        </w:rPr>
        <w:t>Pragmatix</w:t>
      </w:r>
      <w:proofErr w:type="spellEnd"/>
      <w:r w:rsidRPr="00E349E6">
        <w:rPr>
          <w:rFonts w:ascii="Arial" w:hAnsi="Arial" w:cs="Arial"/>
          <w:b/>
          <w:bCs/>
        </w:rPr>
        <w:t xml:space="preserve"> Advisory Limited</w:t>
      </w:r>
    </w:p>
    <w:p w14:paraId="251587F5" w14:textId="0B685DA6" w:rsidR="00446ABC" w:rsidRPr="00E349E6" w:rsidRDefault="00492296" w:rsidP="00114456">
      <w:pPr>
        <w:spacing w:line="240" w:lineRule="auto"/>
        <w:rPr>
          <w:rFonts w:ascii="Arial" w:hAnsi="Arial" w:cs="Arial"/>
        </w:rPr>
      </w:pPr>
      <w:hyperlink r:id="rId26" w:history="1">
        <w:proofErr w:type="spellStart"/>
        <w:r w:rsidRPr="00E349E6">
          <w:rPr>
            <w:rStyle w:val="Hyperlink"/>
            <w:rFonts w:ascii="Arial" w:hAnsi="Arial" w:cs="Arial"/>
          </w:rPr>
          <w:t>Pragmatix</w:t>
        </w:r>
        <w:proofErr w:type="spellEnd"/>
        <w:r w:rsidRPr="00E349E6">
          <w:rPr>
            <w:rStyle w:val="Hyperlink"/>
            <w:rFonts w:ascii="Arial" w:hAnsi="Arial" w:cs="Arial"/>
          </w:rPr>
          <w:t xml:space="preserve"> Advisory Limited</w:t>
        </w:r>
      </w:hyperlink>
      <w:r w:rsidRPr="00E349E6">
        <w:rPr>
          <w:rFonts w:ascii="Arial" w:hAnsi="Arial" w:cs="Arial"/>
        </w:rPr>
        <w:t xml:space="preserve"> is a leading socioeconomic research firm dedicated to providing comprehensive analysis and strategic insights to drive effective policy and investment decisions, particularly in the context of rural and regional development.</w:t>
      </w:r>
    </w:p>
    <w:sectPr w:rsidR="00446ABC" w:rsidRPr="00E349E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6640099"/>
    <w:multiLevelType w:val="hybridMultilevel"/>
    <w:tmpl w:val="13F8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F4D3E"/>
    <w:multiLevelType w:val="hybridMultilevel"/>
    <w:tmpl w:val="8F88C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746810"/>
    <w:multiLevelType w:val="hybridMultilevel"/>
    <w:tmpl w:val="1A26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379381">
    <w:abstractNumId w:val="8"/>
  </w:num>
  <w:num w:numId="2" w16cid:durableId="1270818276">
    <w:abstractNumId w:val="6"/>
  </w:num>
  <w:num w:numId="3" w16cid:durableId="493302577">
    <w:abstractNumId w:val="5"/>
  </w:num>
  <w:num w:numId="4" w16cid:durableId="705064543">
    <w:abstractNumId w:val="4"/>
  </w:num>
  <w:num w:numId="5" w16cid:durableId="1796871087">
    <w:abstractNumId w:val="7"/>
  </w:num>
  <w:num w:numId="6" w16cid:durableId="1785882582">
    <w:abstractNumId w:val="3"/>
  </w:num>
  <w:num w:numId="7" w16cid:durableId="1920207784">
    <w:abstractNumId w:val="2"/>
  </w:num>
  <w:num w:numId="8" w16cid:durableId="722214420">
    <w:abstractNumId w:val="1"/>
  </w:num>
  <w:num w:numId="9" w16cid:durableId="990716566">
    <w:abstractNumId w:val="0"/>
  </w:num>
  <w:num w:numId="10" w16cid:durableId="869877788">
    <w:abstractNumId w:val="9"/>
  </w:num>
  <w:num w:numId="11" w16cid:durableId="1074551620">
    <w:abstractNumId w:val="11"/>
  </w:num>
  <w:num w:numId="12" w16cid:durableId="12099556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0530"/>
    <w:rsid w:val="00114456"/>
    <w:rsid w:val="0015074B"/>
    <w:rsid w:val="001A2C98"/>
    <w:rsid w:val="001A6049"/>
    <w:rsid w:val="001B3A12"/>
    <w:rsid w:val="001E1DF0"/>
    <w:rsid w:val="001F0192"/>
    <w:rsid w:val="00293351"/>
    <w:rsid w:val="0029639D"/>
    <w:rsid w:val="002F63CA"/>
    <w:rsid w:val="00326F90"/>
    <w:rsid w:val="003D513E"/>
    <w:rsid w:val="003F2DEB"/>
    <w:rsid w:val="00446ABC"/>
    <w:rsid w:val="00492296"/>
    <w:rsid w:val="004C7F09"/>
    <w:rsid w:val="00531D37"/>
    <w:rsid w:val="005C38F7"/>
    <w:rsid w:val="00601568"/>
    <w:rsid w:val="006069C2"/>
    <w:rsid w:val="006A4B7D"/>
    <w:rsid w:val="006B178C"/>
    <w:rsid w:val="0076429D"/>
    <w:rsid w:val="00815B78"/>
    <w:rsid w:val="0083757F"/>
    <w:rsid w:val="00843748"/>
    <w:rsid w:val="0088370B"/>
    <w:rsid w:val="00905E2C"/>
    <w:rsid w:val="009227CA"/>
    <w:rsid w:val="00983883"/>
    <w:rsid w:val="009862B3"/>
    <w:rsid w:val="009D38D6"/>
    <w:rsid w:val="009E5397"/>
    <w:rsid w:val="00A410A5"/>
    <w:rsid w:val="00A445B7"/>
    <w:rsid w:val="00AA1D8D"/>
    <w:rsid w:val="00B47730"/>
    <w:rsid w:val="00BF19C0"/>
    <w:rsid w:val="00C752C2"/>
    <w:rsid w:val="00C9328E"/>
    <w:rsid w:val="00CB0664"/>
    <w:rsid w:val="00DD1397"/>
    <w:rsid w:val="00DF4372"/>
    <w:rsid w:val="00E349E6"/>
    <w:rsid w:val="00EB288A"/>
    <w:rsid w:val="00EE200D"/>
    <w:rsid w:val="00F47280"/>
    <w:rsid w:val="00F5108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6609B"/>
  <w14:defaultImageDpi w14:val="300"/>
  <w15:docId w15:val="{B98C25D5-A393-41D7-A70F-522D9FF8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114456"/>
    <w:rPr>
      <w:color w:val="0000FF" w:themeColor="hyperlink"/>
      <w:u w:val="single"/>
    </w:rPr>
  </w:style>
  <w:style w:type="character" w:styleId="UnresolvedMention">
    <w:name w:val="Unresolved Mention"/>
    <w:basedOn w:val="DefaultParagraphFont"/>
    <w:uiPriority w:val="99"/>
    <w:semiHidden/>
    <w:unhideWhenUsed/>
    <w:rsid w:val="00114456"/>
    <w:rPr>
      <w:color w:val="605E5C"/>
      <w:shd w:val="clear" w:color="auto" w:fill="E1DFDD"/>
    </w:rPr>
  </w:style>
  <w:style w:type="character" w:styleId="FollowedHyperlink">
    <w:name w:val="FollowedHyperlink"/>
    <w:basedOn w:val="DefaultParagraphFont"/>
    <w:uiPriority w:val="99"/>
    <w:semiHidden/>
    <w:unhideWhenUsed/>
    <w:rsid w:val="001E1DF0"/>
    <w:rPr>
      <w:color w:val="800080" w:themeColor="followedHyperlink"/>
      <w:u w:val="single"/>
    </w:rPr>
  </w:style>
  <w:style w:type="paragraph" w:styleId="Revision">
    <w:name w:val="Revision"/>
    <w:hidden/>
    <w:uiPriority w:val="99"/>
    <w:semiHidden/>
    <w:rsid w:val="005C38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42770">
      <w:bodyDiv w:val="1"/>
      <w:marLeft w:val="0"/>
      <w:marRight w:val="0"/>
      <w:marTop w:val="0"/>
      <w:marBottom w:val="0"/>
      <w:divBdr>
        <w:top w:val="none" w:sz="0" w:space="0" w:color="auto"/>
        <w:left w:val="none" w:sz="0" w:space="0" w:color="auto"/>
        <w:bottom w:val="none" w:sz="0" w:space="0" w:color="auto"/>
        <w:right w:val="none" w:sz="0" w:space="0" w:color="auto"/>
      </w:divBdr>
    </w:div>
    <w:div w:id="348067068">
      <w:bodyDiv w:val="1"/>
      <w:marLeft w:val="0"/>
      <w:marRight w:val="0"/>
      <w:marTop w:val="0"/>
      <w:marBottom w:val="0"/>
      <w:divBdr>
        <w:top w:val="none" w:sz="0" w:space="0" w:color="auto"/>
        <w:left w:val="none" w:sz="0" w:space="0" w:color="auto"/>
        <w:bottom w:val="none" w:sz="0" w:space="0" w:color="auto"/>
        <w:right w:val="none" w:sz="0" w:space="0" w:color="auto"/>
      </w:divBdr>
    </w:div>
    <w:div w:id="915820716">
      <w:bodyDiv w:val="1"/>
      <w:marLeft w:val="0"/>
      <w:marRight w:val="0"/>
      <w:marTop w:val="0"/>
      <w:marBottom w:val="0"/>
      <w:divBdr>
        <w:top w:val="none" w:sz="0" w:space="0" w:color="auto"/>
        <w:left w:val="none" w:sz="0" w:space="0" w:color="auto"/>
        <w:bottom w:val="none" w:sz="0" w:space="0" w:color="auto"/>
        <w:right w:val="none" w:sz="0" w:space="0" w:color="auto"/>
      </w:divBdr>
    </w:div>
    <w:div w:id="1215434387">
      <w:bodyDiv w:val="1"/>
      <w:marLeft w:val="0"/>
      <w:marRight w:val="0"/>
      <w:marTop w:val="0"/>
      <w:marBottom w:val="0"/>
      <w:divBdr>
        <w:top w:val="none" w:sz="0" w:space="0" w:color="auto"/>
        <w:left w:val="none" w:sz="0" w:space="0" w:color="auto"/>
        <w:bottom w:val="none" w:sz="0" w:space="0" w:color="auto"/>
        <w:right w:val="none" w:sz="0" w:space="0" w:color="auto"/>
      </w:divBdr>
    </w:div>
    <w:div w:id="1791975168">
      <w:bodyDiv w:val="1"/>
      <w:marLeft w:val="0"/>
      <w:marRight w:val="0"/>
      <w:marTop w:val="0"/>
      <w:marBottom w:val="0"/>
      <w:divBdr>
        <w:top w:val="none" w:sz="0" w:space="0" w:color="auto"/>
        <w:left w:val="none" w:sz="0" w:space="0" w:color="auto"/>
        <w:bottom w:val="none" w:sz="0" w:space="0" w:color="auto"/>
        <w:right w:val="none" w:sz="0" w:space="0" w:color="auto"/>
      </w:divBdr>
    </w:div>
    <w:div w:id="1841041728">
      <w:bodyDiv w:val="1"/>
      <w:marLeft w:val="0"/>
      <w:marRight w:val="0"/>
      <w:marTop w:val="0"/>
      <w:marBottom w:val="0"/>
      <w:divBdr>
        <w:top w:val="none" w:sz="0" w:space="0" w:color="auto"/>
        <w:left w:val="none" w:sz="0" w:space="0" w:color="auto"/>
        <w:bottom w:val="none" w:sz="0" w:space="0" w:color="auto"/>
        <w:right w:val="none" w:sz="0" w:space="0" w:color="auto"/>
      </w:divBdr>
    </w:div>
    <w:div w:id="1881436801">
      <w:bodyDiv w:val="1"/>
      <w:marLeft w:val="0"/>
      <w:marRight w:val="0"/>
      <w:marTop w:val="0"/>
      <w:marBottom w:val="0"/>
      <w:divBdr>
        <w:top w:val="none" w:sz="0" w:space="0" w:color="auto"/>
        <w:left w:val="none" w:sz="0" w:space="0" w:color="auto"/>
        <w:bottom w:val="none" w:sz="0" w:space="0" w:color="auto"/>
        <w:right w:val="none" w:sz="0" w:space="0" w:color="auto"/>
      </w:divBdr>
    </w:div>
    <w:div w:id="1979723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y.smith@lexcomm.co.uk" TargetMode="External"/><Relationship Id="rId18" Type="http://schemas.openxmlformats.org/officeDocument/2006/relationships/hyperlink" Target="https://www.ncrhc.org/" TargetMode="External"/><Relationship Id="rId26" Type="http://schemas.openxmlformats.org/officeDocument/2006/relationships/hyperlink" Target="https://www.pragmatixadvisory.com/" TargetMode="External"/><Relationship Id="rId3" Type="http://schemas.openxmlformats.org/officeDocument/2006/relationships/customXml" Target="../customXml/item3.xml"/><Relationship Id="rId21" Type="http://schemas.openxmlformats.org/officeDocument/2006/relationships/hyperlink" Target="https://plunkett.co.uk/" TargetMode="External"/><Relationship Id="rId7" Type="http://schemas.openxmlformats.org/officeDocument/2006/relationships/settings" Target="settings.xml"/><Relationship Id="rId12" Type="http://schemas.openxmlformats.org/officeDocument/2006/relationships/hyperlink" Target="https://acre.org.uk/a-better-future-for-rural-england/" TargetMode="External"/><Relationship Id="rId17" Type="http://schemas.openxmlformats.org/officeDocument/2006/relationships/hyperlink" Target="https://www.nalc.gov.uk/" TargetMode="External"/><Relationship Id="rId25" Type="http://schemas.openxmlformats.org/officeDocument/2006/relationships/hyperlink" Target="https://www.tcpa.org.uk/" TargetMode="External"/><Relationship Id="rId2" Type="http://schemas.openxmlformats.org/officeDocument/2006/relationships/customXml" Target="../customXml/item2.xml"/><Relationship Id="rId16" Type="http://schemas.openxmlformats.org/officeDocument/2006/relationships/hyperlink" Target="https://www.cpre.org.uk/" TargetMode="External"/><Relationship Id="rId20" Type="http://schemas.openxmlformats.org/officeDocument/2006/relationships/hyperlink" Target="https://www.housing.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agmatixadvisory.com/" TargetMode="External"/><Relationship Id="rId24" Type="http://schemas.openxmlformats.org/officeDocument/2006/relationships/hyperlink" Target="https://www.rsnonline.org.uk/" TargetMode="External"/><Relationship Id="rId5" Type="http://schemas.openxmlformats.org/officeDocument/2006/relationships/numbering" Target="numbering.xml"/><Relationship Id="rId15" Type="http://schemas.openxmlformats.org/officeDocument/2006/relationships/hyperlink" Target="https://arthurrankcentre.org.uk/" TargetMode="External"/><Relationship Id="rId23" Type="http://schemas.openxmlformats.org/officeDocument/2006/relationships/hyperlink" Target="https://www.rtpi.org.uk/" TargetMode="External"/><Relationship Id="rId28" Type="http://schemas.openxmlformats.org/officeDocument/2006/relationships/theme" Target="theme/theme1.xml"/><Relationship Id="rId10" Type="http://schemas.openxmlformats.org/officeDocument/2006/relationships/hyperlink" Target="https://acre.org.uk/rural-coalition/" TargetMode="External"/><Relationship Id="rId19" Type="http://schemas.openxmlformats.org/officeDocument/2006/relationships/hyperlink" Target="https://www.nfuonline.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cre.org.uk/" TargetMode="External"/><Relationship Id="rId22" Type="http://schemas.openxmlformats.org/officeDocument/2006/relationships/hyperlink" Target="https://www.rics.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23592f-146e-40e8-91ad-d56de6fa3f44">
      <Terms xmlns="http://schemas.microsoft.com/office/infopath/2007/PartnerControls"/>
    </lcf76f155ced4ddcb4097134ff3c332f>
    <TaxCatchAll xmlns="742dfbf6-416d-426c-b606-1e1c6dd9456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0F50E08934714A91BA32EF433F3C48" ma:contentTypeVersion="" ma:contentTypeDescription="Create a new document." ma:contentTypeScope="" ma:versionID="b55e5345d654de40a751cfbcc796b357">
  <xsd:schema xmlns:xsd="http://www.w3.org/2001/XMLSchema" xmlns:xs="http://www.w3.org/2001/XMLSchema" xmlns:p="http://schemas.microsoft.com/office/2006/metadata/properties" xmlns:ns2="9450815b-b0aa-4acd-b87a-cb4eb8809807" xmlns:ns3="d023592f-146e-40e8-91ad-d56de6fa3f44" xmlns:ns4="742dfbf6-416d-426c-b606-1e1c6dd94565" targetNamespace="http://schemas.microsoft.com/office/2006/metadata/properties" ma:root="true" ma:fieldsID="0175cc6db2f10aadf02021cd80c6b665" ns2:_="" ns3:_="" ns4:_="">
    <xsd:import namespace="9450815b-b0aa-4acd-b87a-cb4eb8809807"/>
    <xsd:import namespace="d023592f-146e-40e8-91ad-d56de6fa3f44"/>
    <xsd:import namespace="742dfbf6-416d-426c-b606-1e1c6dd945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0815b-b0aa-4acd-b87a-cb4eb88098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3592f-146e-40e8-91ad-d56de6fa3f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b0a3d8-4793-4ee5-8a93-1022e569aa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2dfbf6-416d-426c-b606-1e1c6dd9456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9578b6b-017e-491e-aea4-ce5634d840c4}" ma:internalName="TaxCatchAll" ma:showField="CatchAllData" ma:web="742dfbf6-416d-426c-b606-1e1c6dd945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53C10BD9-92B0-4C25-BF12-C467E517C83F}">
  <ds:schemaRefs>
    <ds:schemaRef ds:uri="http://schemas.microsoft.com/sharepoint/v3/contenttype/forms"/>
  </ds:schemaRefs>
</ds:datastoreItem>
</file>

<file path=customXml/itemProps3.xml><?xml version="1.0" encoding="utf-8"?>
<ds:datastoreItem xmlns:ds="http://schemas.openxmlformats.org/officeDocument/2006/customXml" ds:itemID="{DA6E27EB-1E59-479D-BA97-2CC6E6E07ED4}">
  <ds:schemaRefs>
    <ds:schemaRef ds:uri="http://schemas.microsoft.com/office/2006/metadata/properties"/>
    <ds:schemaRef ds:uri="http://schemas.microsoft.com/office/infopath/2007/PartnerControls"/>
    <ds:schemaRef ds:uri="70ca3b07-a5d4-4e6d-ab17-c6ed1d1ed637"/>
    <ds:schemaRef ds:uri="9b5c2d67-6ba8-4909-8871-d66aad70ec51"/>
  </ds:schemaRefs>
</ds:datastoreItem>
</file>

<file path=customXml/itemProps4.xml><?xml version="1.0" encoding="utf-8"?>
<ds:datastoreItem xmlns:ds="http://schemas.openxmlformats.org/officeDocument/2006/customXml" ds:itemID="{8BB07B36-60FA-4A9B-9E8E-51B9A826A008}"/>
</file>

<file path=docProps/app.xml><?xml version="1.0" encoding="utf-8"?>
<Properties xmlns="http://schemas.openxmlformats.org/officeDocument/2006/extended-properties" xmlns:vt="http://schemas.openxmlformats.org/officeDocument/2006/docPropsVTypes">
  <Template>Normal</Template>
  <TotalTime>18</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Lucy Smith</cp:lastModifiedBy>
  <cp:revision>3</cp:revision>
  <dcterms:created xsi:type="dcterms:W3CDTF">2024-09-18T12:09:00Z</dcterms:created>
  <dcterms:modified xsi:type="dcterms:W3CDTF">2024-09-18T12:09:00Z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0x010100B9BF68E939648E41A7AD205F45E1D06E</vt:lpwstr>
  </property>
  <property fmtid="{D5CDD505-2E9C-101B-9397-08002B2CF9AE}" pid="3" name="MediaServiceImageTags">
    <vt:lpwstr/>
  </property>
</Properties>
</file>